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B842A1" w:rsidRDefault="00440975" w:rsidP="00B842A1">
      <w:pPr>
        <w:jc w:val="center"/>
        <w:rPr>
          <w:rFonts w:ascii="Times New Roman" w:hAnsi="Times New Roman" w:cs="Times New Roman"/>
          <w:b/>
          <w:sz w:val="24"/>
          <w:szCs w:val="24"/>
        </w:rPr>
      </w:pPr>
      <w:r>
        <w:rPr>
          <w:rFonts w:ascii="Times New Roman" w:hAnsi="Times New Roman" w:cs="Times New Roman"/>
          <w:b/>
          <w:sz w:val="24"/>
          <w:szCs w:val="24"/>
        </w:rPr>
        <w:t>Part 5</w:t>
      </w:r>
    </w:p>
    <w:p w:rsidR="00B842A1" w:rsidRDefault="00BC29B3" w:rsidP="00B842A1">
      <w:pPr>
        <w:jc w:val="center"/>
        <w:rPr>
          <w:rFonts w:ascii="Times New Roman" w:hAnsi="Times New Roman" w:cs="Times New Roman"/>
          <w:b/>
          <w:sz w:val="24"/>
          <w:szCs w:val="24"/>
        </w:rPr>
      </w:pPr>
    </w:p>
    <w:p w:rsidR="00B842A1" w:rsidRDefault="00BC29B3" w:rsidP="00B842A1">
      <w:pPr>
        <w:jc w:val="center"/>
        <w:rPr>
          <w:rFonts w:ascii="Times New Roman" w:hAnsi="Times New Roman" w:cs="Times New Roman"/>
          <w:b/>
          <w:sz w:val="24"/>
          <w:szCs w:val="24"/>
        </w:rPr>
      </w:pPr>
    </w:p>
    <w:p w:rsidR="00B842A1" w:rsidRDefault="00BC29B3" w:rsidP="00B842A1">
      <w:pPr>
        <w:jc w:val="center"/>
        <w:rPr>
          <w:rFonts w:ascii="Times New Roman" w:hAnsi="Times New Roman" w:cs="Times New Roman"/>
          <w:b/>
          <w:sz w:val="24"/>
          <w:szCs w:val="24"/>
        </w:rPr>
      </w:pPr>
    </w:p>
    <w:p w:rsidR="00B836C2" w:rsidRDefault="00F05FB5" w:rsidP="00B842A1">
      <w:pPr>
        <w:spacing w:line="480" w:lineRule="auto"/>
        <w:jc w:val="center"/>
        <w:rPr>
          <w:rFonts w:ascii="Times New Roman" w:hAnsi="Times New Roman" w:cs="Times New Roman"/>
          <w:sz w:val="24"/>
          <w:szCs w:val="24"/>
        </w:rPr>
      </w:pPr>
      <w:r w:rsidRPr="00B842A1">
        <w:rPr>
          <w:rFonts w:ascii="Times New Roman" w:hAnsi="Times New Roman" w:cs="Times New Roman"/>
          <w:sz w:val="24"/>
          <w:szCs w:val="24"/>
        </w:rPr>
        <w:t>Substance abuse and mental health benefits in Insurance plan.</w:t>
      </w:r>
    </w:p>
    <w:p w:rsidR="00B842A1" w:rsidRDefault="00F05FB5" w:rsidP="00B842A1">
      <w:pPr>
        <w:spacing w:line="480" w:lineRule="auto"/>
        <w:jc w:val="center"/>
        <w:rPr>
          <w:rFonts w:ascii="Times New Roman" w:hAnsi="Times New Roman" w:cs="Times New Roman"/>
          <w:sz w:val="24"/>
          <w:szCs w:val="24"/>
        </w:rPr>
      </w:pPr>
      <w:r>
        <w:rPr>
          <w:rFonts w:ascii="Times New Roman" w:hAnsi="Times New Roman" w:cs="Times New Roman"/>
          <w:sz w:val="24"/>
          <w:szCs w:val="24"/>
        </w:rPr>
        <w:t>Student’s Name</w:t>
      </w:r>
    </w:p>
    <w:p w:rsidR="00B842A1" w:rsidRPr="00B842A1" w:rsidRDefault="00F05FB5" w:rsidP="00B842A1">
      <w:pPr>
        <w:spacing w:line="480" w:lineRule="auto"/>
        <w:jc w:val="center"/>
        <w:rPr>
          <w:rFonts w:ascii="Times New Roman" w:hAnsi="Times New Roman" w:cs="Times New Roman"/>
          <w:sz w:val="24"/>
          <w:szCs w:val="24"/>
        </w:rPr>
      </w:pPr>
      <w:r>
        <w:rPr>
          <w:rFonts w:ascii="Times New Roman" w:hAnsi="Times New Roman" w:cs="Times New Roman"/>
          <w:sz w:val="24"/>
          <w:szCs w:val="24"/>
        </w:rPr>
        <w:t>Institution</w:t>
      </w:r>
    </w:p>
    <w:p w:rsidR="00B842A1" w:rsidRPr="00B842A1" w:rsidRDefault="00BC29B3" w:rsidP="00B842A1">
      <w:pPr>
        <w:spacing w:line="480" w:lineRule="auto"/>
        <w:jc w:val="center"/>
        <w:rPr>
          <w:rFonts w:ascii="Times New Roman" w:hAnsi="Times New Roman" w:cs="Times New Roman"/>
          <w:sz w:val="24"/>
          <w:szCs w:val="24"/>
        </w:rPr>
      </w:pPr>
    </w:p>
    <w:p w:rsidR="00B842A1" w:rsidRDefault="00BC29B3" w:rsidP="00B842A1">
      <w:pPr>
        <w:spacing w:line="480" w:lineRule="auto"/>
        <w:jc w:val="center"/>
        <w:rPr>
          <w:rFonts w:ascii="Times New Roman" w:hAnsi="Times New Roman" w:cs="Times New Roman"/>
          <w:b/>
          <w:sz w:val="24"/>
          <w:szCs w:val="24"/>
        </w:rPr>
      </w:pPr>
    </w:p>
    <w:p w:rsidR="00B842A1" w:rsidRDefault="00BC29B3" w:rsidP="00B842A1">
      <w:pPr>
        <w:spacing w:line="480" w:lineRule="auto"/>
        <w:jc w:val="center"/>
        <w:rPr>
          <w:rFonts w:ascii="Times New Roman" w:hAnsi="Times New Roman" w:cs="Times New Roman"/>
          <w:b/>
          <w:sz w:val="24"/>
          <w:szCs w:val="24"/>
        </w:rPr>
      </w:pPr>
    </w:p>
    <w:p w:rsidR="00B842A1" w:rsidRDefault="00BC29B3" w:rsidP="00B842A1">
      <w:pPr>
        <w:spacing w:line="480" w:lineRule="auto"/>
        <w:rPr>
          <w:rFonts w:ascii="Times New Roman" w:hAnsi="Times New Roman" w:cs="Times New Roman"/>
          <w:sz w:val="24"/>
          <w:szCs w:val="24"/>
        </w:rPr>
      </w:pPr>
    </w:p>
    <w:p w:rsidR="00B842A1" w:rsidRDefault="00BC29B3" w:rsidP="00B842A1">
      <w:pPr>
        <w:spacing w:line="480" w:lineRule="auto"/>
        <w:rPr>
          <w:rFonts w:ascii="Times New Roman" w:hAnsi="Times New Roman" w:cs="Times New Roman"/>
          <w:sz w:val="24"/>
          <w:szCs w:val="24"/>
        </w:rPr>
      </w:pPr>
    </w:p>
    <w:p w:rsidR="00B842A1" w:rsidRDefault="00BC29B3" w:rsidP="00B842A1">
      <w:pPr>
        <w:spacing w:line="480" w:lineRule="auto"/>
        <w:rPr>
          <w:rFonts w:ascii="Times New Roman" w:hAnsi="Times New Roman" w:cs="Times New Roman"/>
          <w:sz w:val="24"/>
          <w:szCs w:val="24"/>
        </w:rPr>
      </w:pPr>
    </w:p>
    <w:p w:rsidR="00B842A1" w:rsidRDefault="00BC29B3" w:rsidP="00B842A1">
      <w:pPr>
        <w:spacing w:line="480" w:lineRule="auto"/>
        <w:rPr>
          <w:rFonts w:ascii="Times New Roman" w:hAnsi="Times New Roman" w:cs="Times New Roman"/>
          <w:sz w:val="24"/>
          <w:szCs w:val="24"/>
        </w:rPr>
      </w:pPr>
    </w:p>
    <w:p w:rsidR="00B842A1" w:rsidRDefault="00BC29B3" w:rsidP="00B842A1">
      <w:pPr>
        <w:spacing w:line="480" w:lineRule="auto"/>
        <w:rPr>
          <w:rFonts w:ascii="Times New Roman" w:hAnsi="Times New Roman" w:cs="Times New Roman"/>
          <w:sz w:val="24"/>
          <w:szCs w:val="24"/>
        </w:rPr>
      </w:pPr>
    </w:p>
    <w:p w:rsidR="00B842A1" w:rsidRDefault="00BC29B3" w:rsidP="00B842A1">
      <w:pPr>
        <w:spacing w:line="480" w:lineRule="auto"/>
        <w:rPr>
          <w:rFonts w:ascii="Times New Roman" w:hAnsi="Times New Roman" w:cs="Times New Roman"/>
          <w:sz w:val="24"/>
          <w:szCs w:val="24"/>
        </w:rPr>
      </w:pPr>
    </w:p>
    <w:p w:rsidR="00B842A1" w:rsidRDefault="00BC29B3" w:rsidP="00B842A1">
      <w:pPr>
        <w:spacing w:line="480" w:lineRule="auto"/>
        <w:rPr>
          <w:rFonts w:ascii="Times New Roman" w:hAnsi="Times New Roman" w:cs="Times New Roman"/>
          <w:sz w:val="24"/>
          <w:szCs w:val="24"/>
        </w:rPr>
      </w:pPr>
    </w:p>
    <w:p w:rsidR="00B842A1" w:rsidRDefault="00BC29B3" w:rsidP="00B842A1">
      <w:pPr>
        <w:spacing w:line="480" w:lineRule="auto"/>
        <w:rPr>
          <w:rFonts w:ascii="Times New Roman" w:hAnsi="Times New Roman" w:cs="Times New Roman"/>
          <w:sz w:val="24"/>
          <w:szCs w:val="24"/>
        </w:rPr>
      </w:pPr>
    </w:p>
    <w:p w:rsidR="00B842A1" w:rsidRDefault="00BC29B3" w:rsidP="00B842A1">
      <w:pPr>
        <w:spacing w:line="480" w:lineRule="auto"/>
        <w:rPr>
          <w:rFonts w:ascii="Times New Roman" w:hAnsi="Times New Roman" w:cs="Times New Roman"/>
          <w:sz w:val="24"/>
          <w:szCs w:val="24"/>
        </w:rPr>
      </w:pPr>
    </w:p>
    <w:p w:rsidR="00B842A1" w:rsidRPr="00F40225" w:rsidRDefault="00F05FB5" w:rsidP="0075644B">
      <w:pPr>
        <w:spacing w:line="480" w:lineRule="auto"/>
        <w:jc w:val="center"/>
        <w:rPr>
          <w:rFonts w:ascii="Times New Roman" w:hAnsi="Times New Roman" w:cs="Times New Roman"/>
          <w:b/>
          <w:sz w:val="24"/>
          <w:szCs w:val="24"/>
        </w:rPr>
      </w:pPr>
      <w:r w:rsidRPr="00F40225">
        <w:rPr>
          <w:rFonts w:ascii="Times New Roman" w:hAnsi="Times New Roman" w:cs="Times New Roman"/>
          <w:b/>
          <w:sz w:val="24"/>
          <w:szCs w:val="24"/>
        </w:rPr>
        <w:lastRenderedPageBreak/>
        <w:t>Substance abuse and mental health benefit in the Insurance plan.</w:t>
      </w:r>
    </w:p>
    <w:p w:rsidR="005F176C" w:rsidRDefault="00F05FB5" w:rsidP="00B842A1">
      <w:pPr>
        <w:spacing w:line="480" w:lineRule="auto"/>
        <w:rPr>
          <w:rFonts w:ascii="Times New Roman" w:hAnsi="Times New Roman" w:cs="Times New Roman"/>
          <w:sz w:val="24"/>
          <w:szCs w:val="24"/>
        </w:rPr>
      </w:pPr>
      <w:r>
        <w:rPr>
          <w:rFonts w:ascii="Times New Roman" w:hAnsi="Times New Roman" w:cs="Times New Roman"/>
          <w:sz w:val="24"/>
          <w:szCs w:val="24"/>
        </w:rPr>
        <w:t>There has been a debate among advocates for health benefits plan concerning Insurance protection. The insurance plan mostly has always covered regular medical care and not considering the mental health care covers. This has raised the alarm from the behavioral health care advocates who want the psychological and substance use health care to be involved in the insurance plan. They want both benefits to be equalized. Federal Mental Health Act of the year 2008, is in support of the parity between the mental and substance use health care protection and the other medical conditions. This Federal Act of Mental health says that according to the law no one should be restricted from the financial benefits care even if they are victims of mental and substance use victims (Garfield et al., 2010). The 2008 Acts demands that the employers who offer insurance cover benefits to its people should also provide the same benefit plan to the people or employees of the substance use and mental health care. These victims should not be restricted regarding the number of days they should visit or how much they should cover.</w:t>
      </w:r>
    </w:p>
    <w:p w:rsidR="00B842A1" w:rsidRDefault="00F05FB5" w:rsidP="00494137">
      <w:pPr>
        <w:spacing w:line="480" w:lineRule="auto"/>
        <w:rPr>
          <w:rFonts w:ascii="Times New Roman" w:hAnsi="Times New Roman" w:cs="Times New Roman"/>
          <w:sz w:val="24"/>
          <w:szCs w:val="24"/>
        </w:rPr>
      </w:pPr>
      <w:r>
        <w:rPr>
          <w:rFonts w:ascii="Times New Roman" w:hAnsi="Times New Roman" w:cs="Times New Roman"/>
          <w:sz w:val="24"/>
          <w:szCs w:val="24"/>
        </w:rPr>
        <w:t xml:space="preserve"> Another Federal Mental Health Act of 1996 was in support of parity which was relative too to the new Act of Federal Mental Healthcare of 2008. However, the 1996 Act was more focused in the long term mostly lifetime limits in dollars. All these Acts and many other advocates are trying to equalize the insurance benefits given to the mental and substance use and other medical care conditions. </w:t>
      </w:r>
    </w:p>
    <w:p w:rsidR="00F40225" w:rsidRDefault="00F05FB5" w:rsidP="00F40225">
      <w:pPr>
        <w:spacing w:line="480" w:lineRule="auto"/>
        <w:ind w:firstLine="720"/>
        <w:rPr>
          <w:rFonts w:ascii="Times New Roman" w:hAnsi="Times New Roman" w:cs="Times New Roman"/>
          <w:sz w:val="24"/>
          <w:szCs w:val="24"/>
        </w:rPr>
      </w:pPr>
      <w:r>
        <w:rPr>
          <w:rFonts w:ascii="Times New Roman" w:hAnsi="Times New Roman" w:cs="Times New Roman"/>
          <w:sz w:val="24"/>
          <w:szCs w:val="24"/>
        </w:rPr>
        <w:t xml:space="preserve">Even thou the Federal have tried to push the parity between these two types of the health condition, there is an opposition group of organizations mostly in concerned in Economic effects. According to the team against the equalization of the Insurance benefits of the mental health and substance use, the cost used in the healthcare will automatically rise if mental health </w:t>
      </w:r>
      <w:r>
        <w:rPr>
          <w:rFonts w:ascii="Times New Roman" w:hAnsi="Times New Roman" w:cs="Times New Roman"/>
          <w:sz w:val="24"/>
          <w:szCs w:val="24"/>
        </w:rPr>
        <w:lastRenderedPageBreak/>
        <w:t>and substance use insurance plan are involved (Mojtabai et al., 2002). The out of pockets is considered by the opposition because they say the reduction in the use of out of pockets services to substance use patients is going have a negative impact on the economy. This is because mental and substance use is the extension care caused by the victims themselves so it should involve out of pocket money to cater for their health care services.</w:t>
      </w:r>
    </w:p>
    <w:p w:rsidR="00F40225" w:rsidRDefault="00F05FB5" w:rsidP="00F40225">
      <w:pPr>
        <w:spacing w:line="480" w:lineRule="auto"/>
        <w:ind w:firstLine="720"/>
        <w:rPr>
          <w:rFonts w:ascii="Times New Roman" w:hAnsi="Times New Roman" w:cs="Times New Roman"/>
          <w:sz w:val="24"/>
          <w:szCs w:val="24"/>
        </w:rPr>
      </w:pPr>
      <w:r>
        <w:rPr>
          <w:rFonts w:ascii="Times New Roman" w:hAnsi="Times New Roman" w:cs="Times New Roman"/>
          <w:sz w:val="24"/>
          <w:szCs w:val="24"/>
        </w:rPr>
        <w:t xml:space="preserve"> In my opinion, mental health and substance use should be equalized in the Insurance plan. Even if this is going to increase the cost and have a negative impact on the economy, it will assure that quality care is given to the victims. In most of the cases if the mental and substance use victims are just paying from their pockets to get medical help then am afraid a high percentage will not get quality care because it can be sometimes expensive to them. And also due to ignorance or high expenses, most of the victims will not find it necessary to seek help. Hence high death rates will be reported (Peele et al., 2003). If a proper plan would be made and have parity between these two conditions, then the cost would also be managed. For a care system to be well maintained, the only important thing is to focus on the solutions to the patient's problems instead of concentrating on their issues and how they acquired them. This is the answer focused therapy system. If it is the substance use victim, it is not necessary to discuss the consequences he or she is dealing with. Instead, focus on the ways which you can help this person get a solution to their problem. </w:t>
      </w:r>
    </w:p>
    <w:p w:rsidR="00FF48BA" w:rsidRDefault="00BC29B3" w:rsidP="00F40225">
      <w:pPr>
        <w:spacing w:line="480" w:lineRule="auto"/>
        <w:ind w:firstLine="720"/>
        <w:jc w:val="center"/>
        <w:rPr>
          <w:rFonts w:ascii="Times New Roman" w:hAnsi="Times New Roman" w:cs="Times New Roman"/>
          <w:b/>
          <w:sz w:val="24"/>
          <w:szCs w:val="24"/>
        </w:rPr>
      </w:pPr>
    </w:p>
    <w:p w:rsidR="00FF48BA" w:rsidRDefault="00BC29B3" w:rsidP="00F40225">
      <w:pPr>
        <w:spacing w:line="480" w:lineRule="auto"/>
        <w:ind w:firstLine="720"/>
        <w:jc w:val="center"/>
        <w:rPr>
          <w:rFonts w:ascii="Times New Roman" w:hAnsi="Times New Roman" w:cs="Times New Roman"/>
          <w:b/>
          <w:sz w:val="24"/>
          <w:szCs w:val="24"/>
        </w:rPr>
      </w:pPr>
    </w:p>
    <w:p w:rsidR="00FF48BA" w:rsidRDefault="00BC29B3" w:rsidP="00F40225">
      <w:pPr>
        <w:spacing w:line="480" w:lineRule="auto"/>
        <w:ind w:firstLine="720"/>
        <w:jc w:val="center"/>
        <w:rPr>
          <w:rFonts w:ascii="Times New Roman" w:hAnsi="Times New Roman" w:cs="Times New Roman"/>
          <w:b/>
          <w:sz w:val="24"/>
          <w:szCs w:val="24"/>
        </w:rPr>
      </w:pPr>
    </w:p>
    <w:p w:rsidR="00FF48BA" w:rsidRDefault="00BC29B3" w:rsidP="00F40225">
      <w:pPr>
        <w:spacing w:line="480" w:lineRule="auto"/>
        <w:ind w:firstLine="720"/>
        <w:jc w:val="center"/>
        <w:rPr>
          <w:rFonts w:ascii="Times New Roman" w:hAnsi="Times New Roman" w:cs="Times New Roman"/>
          <w:b/>
          <w:sz w:val="24"/>
          <w:szCs w:val="24"/>
        </w:rPr>
      </w:pPr>
    </w:p>
    <w:p w:rsidR="00F40225" w:rsidRDefault="00F05FB5" w:rsidP="00F40225">
      <w:pPr>
        <w:spacing w:line="480" w:lineRule="auto"/>
        <w:ind w:firstLine="720"/>
        <w:jc w:val="center"/>
        <w:rPr>
          <w:rFonts w:ascii="Times New Roman" w:hAnsi="Times New Roman" w:cs="Times New Roman"/>
          <w:b/>
          <w:sz w:val="24"/>
          <w:szCs w:val="24"/>
        </w:rPr>
      </w:pPr>
      <w:r w:rsidRPr="00F40225">
        <w:rPr>
          <w:rFonts w:ascii="Times New Roman" w:hAnsi="Times New Roman" w:cs="Times New Roman"/>
          <w:b/>
          <w:sz w:val="24"/>
          <w:szCs w:val="24"/>
        </w:rPr>
        <w:lastRenderedPageBreak/>
        <w:t>References</w:t>
      </w:r>
    </w:p>
    <w:p w:rsidR="00FF48BA" w:rsidRPr="00FF48BA" w:rsidRDefault="00F05FB5" w:rsidP="00FF48BA">
      <w:pPr>
        <w:spacing w:line="480" w:lineRule="auto"/>
        <w:ind w:left="720" w:hanging="720"/>
        <w:rPr>
          <w:rFonts w:ascii="Times New Roman" w:hAnsi="Times New Roman" w:cs="Times New Roman"/>
          <w:color w:val="222222"/>
          <w:sz w:val="24"/>
          <w:szCs w:val="24"/>
          <w:shd w:val="clear" w:color="auto" w:fill="FFFFFF"/>
        </w:rPr>
      </w:pPr>
      <w:r w:rsidRPr="00FF48BA">
        <w:rPr>
          <w:rFonts w:ascii="Times New Roman" w:hAnsi="Times New Roman" w:cs="Times New Roman"/>
          <w:color w:val="222222"/>
          <w:sz w:val="24"/>
          <w:szCs w:val="24"/>
          <w:shd w:val="clear" w:color="auto" w:fill="FFFFFF"/>
        </w:rPr>
        <w:t>Garfield, R. L., Lave, J. R., &amp; Donohue, J. M. (2010). Health reform and the scope of benefits for mental health and substance use disorder services. </w:t>
      </w:r>
      <w:r w:rsidRPr="00FF48BA">
        <w:rPr>
          <w:rFonts w:ascii="Times New Roman" w:hAnsi="Times New Roman" w:cs="Times New Roman"/>
          <w:i/>
          <w:iCs/>
          <w:color w:val="222222"/>
          <w:sz w:val="24"/>
          <w:szCs w:val="24"/>
          <w:shd w:val="clear" w:color="auto" w:fill="FFFFFF"/>
        </w:rPr>
        <w:t>Psychiatric Services</w:t>
      </w:r>
      <w:r w:rsidRPr="00FF48BA">
        <w:rPr>
          <w:rFonts w:ascii="Times New Roman" w:hAnsi="Times New Roman" w:cs="Times New Roman"/>
          <w:color w:val="222222"/>
          <w:sz w:val="24"/>
          <w:szCs w:val="24"/>
          <w:shd w:val="clear" w:color="auto" w:fill="FFFFFF"/>
        </w:rPr>
        <w:t>, </w:t>
      </w:r>
      <w:r w:rsidRPr="00FF48BA">
        <w:rPr>
          <w:rFonts w:ascii="Times New Roman" w:hAnsi="Times New Roman" w:cs="Times New Roman"/>
          <w:i/>
          <w:iCs/>
          <w:color w:val="222222"/>
          <w:sz w:val="24"/>
          <w:szCs w:val="24"/>
          <w:shd w:val="clear" w:color="auto" w:fill="FFFFFF"/>
        </w:rPr>
        <w:t>61</w:t>
      </w:r>
      <w:r w:rsidRPr="00FF48BA">
        <w:rPr>
          <w:rFonts w:ascii="Times New Roman" w:hAnsi="Times New Roman" w:cs="Times New Roman"/>
          <w:color w:val="222222"/>
          <w:sz w:val="24"/>
          <w:szCs w:val="24"/>
          <w:shd w:val="clear" w:color="auto" w:fill="FFFFFF"/>
        </w:rPr>
        <w:t>(11), 1081-1086.</w:t>
      </w:r>
    </w:p>
    <w:p w:rsidR="00FF48BA" w:rsidRPr="00FF48BA" w:rsidRDefault="00F05FB5" w:rsidP="00FF48BA">
      <w:pPr>
        <w:spacing w:line="480" w:lineRule="auto"/>
        <w:ind w:left="720" w:hanging="720"/>
        <w:rPr>
          <w:rFonts w:ascii="Times New Roman" w:hAnsi="Times New Roman" w:cs="Times New Roman"/>
          <w:color w:val="222222"/>
          <w:sz w:val="24"/>
          <w:szCs w:val="24"/>
          <w:shd w:val="clear" w:color="auto" w:fill="FFFFFF"/>
        </w:rPr>
      </w:pPr>
      <w:r w:rsidRPr="00FF48BA">
        <w:rPr>
          <w:rFonts w:ascii="Times New Roman" w:hAnsi="Times New Roman" w:cs="Times New Roman"/>
          <w:color w:val="222222"/>
          <w:sz w:val="24"/>
          <w:szCs w:val="24"/>
          <w:shd w:val="clear" w:color="auto" w:fill="FFFFFF"/>
        </w:rPr>
        <w:t>Mojtabai, R., Olfson, M., &amp; Mechanic, D. (2002). Perceived need and help-seeking in adults with mood, anxiety, or substance use disorders. </w:t>
      </w:r>
      <w:r w:rsidRPr="00FF48BA">
        <w:rPr>
          <w:rFonts w:ascii="Times New Roman" w:hAnsi="Times New Roman" w:cs="Times New Roman"/>
          <w:i/>
          <w:iCs/>
          <w:color w:val="222222"/>
          <w:sz w:val="24"/>
          <w:szCs w:val="24"/>
          <w:shd w:val="clear" w:color="auto" w:fill="FFFFFF"/>
        </w:rPr>
        <w:t>Archives of general psychiatry</w:t>
      </w:r>
      <w:r w:rsidRPr="00FF48BA">
        <w:rPr>
          <w:rFonts w:ascii="Times New Roman" w:hAnsi="Times New Roman" w:cs="Times New Roman"/>
          <w:color w:val="222222"/>
          <w:sz w:val="24"/>
          <w:szCs w:val="24"/>
          <w:shd w:val="clear" w:color="auto" w:fill="FFFFFF"/>
        </w:rPr>
        <w:t>, </w:t>
      </w:r>
      <w:r w:rsidRPr="00FF48BA">
        <w:rPr>
          <w:rFonts w:ascii="Times New Roman" w:hAnsi="Times New Roman" w:cs="Times New Roman"/>
          <w:i/>
          <w:iCs/>
          <w:color w:val="222222"/>
          <w:sz w:val="24"/>
          <w:szCs w:val="24"/>
          <w:shd w:val="clear" w:color="auto" w:fill="FFFFFF"/>
        </w:rPr>
        <w:t>59</w:t>
      </w:r>
      <w:r w:rsidRPr="00FF48BA">
        <w:rPr>
          <w:rFonts w:ascii="Times New Roman" w:hAnsi="Times New Roman" w:cs="Times New Roman"/>
          <w:color w:val="222222"/>
          <w:sz w:val="24"/>
          <w:szCs w:val="24"/>
          <w:shd w:val="clear" w:color="auto" w:fill="FFFFFF"/>
        </w:rPr>
        <w:t>(1), 77-84.</w:t>
      </w:r>
    </w:p>
    <w:p w:rsidR="00FF48BA" w:rsidRPr="00FF48BA" w:rsidRDefault="00F05FB5" w:rsidP="00FF48BA">
      <w:pPr>
        <w:spacing w:line="480" w:lineRule="auto"/>
        <w:ind w:left="720" w:hanging="720"/>
        <w:rPr>
          <w:rFonts w:ascii="Times New Roman" w:hAnsi="Times New Roman" w:cs="Times New Roman"/>
          <w:b/>
          <w:sz w:val="24"/>
          <w:szCs w:val="24"/>
        </w:rPr>
      </w:pPr>
      <w:r w:rsidRPr="00FF48BA">
        <w:rPr>
          <w:rFonts w:ascii="Times New Roman" w:hAnsi="Times New Roman" w:cs="Times New Roman"/>
          <w:color w:val="222222"/>
          <w:sz w:val="24"/>
          <w:szCs w:val="24"/>
          <w:shd w:val="clear" w:color="auto" w:fill="FFFFFF"/>
        </w:rPr>
        <w:t>Peele, P. B., Xu, Y., &amp; Kupfer, D. J. (2003). Insurance expenditures on bipolar disorder: clinical and parity implications. </w:t>
      </w:r>
      <w:r w:rsidRPr="00FF48BA">
        <w:rPr>
          <w:rFonts w:ascii="Times New Roman" w:hAnsi="Times New Roman" w:cs="Times New Roman"/>
          <w:i/>
          <w:iCs/>
          <w:color w:val="222222"/>
          <w:sz w:val="24"/>
          <w:szCs w:val="24"/>
          <w:shd w:val="clear" w:color="auto" w:fill="FFFFFF"/>
        </w:rPr>
        <w:t>American Journal of Psychiatry</w:t>
      </w:r>
      <w:r w:rsidRPr="00FF48BA">
        <w:rPr>
          <w:rFonts w:ascii="Times New Roman" w:hAnsi="Times New Roman" w:cs="Times New Roman"/>
          <w:color w:val="222222"/>
          <w:sz w:val="24"/>
          <w:szCs w:val="24"/>
          <w:shd w:val="clear" w:color="auto" w:fill="FFFFFF"/>
        </w:rPr>
        <w:t>, </w:t>
      </w:r>
      <w:r w:rsidRPr="00FF48BA">
        <w:rPr>
          <w:rFonts w:ascii="Times New Roman" w:hAnsi="Times New Roman" w:cs="Times New Roman"/>
          <w:i/>
          <w:iCs/>
          <w:color w:val="222222"/>
          <w:sz w:val="24"/>
          <w:szCs w:val="24"/>
          <w:shd w:val="clear" w:color="auto" w:fill="FFFFFF"/>
        </w:rPr>
        <w:t>160</w:t>
      </w:r>
      <w:r w:rsidRPr="00FF48BA">
        <w:rPr>
          <w:rFonts w:ascii="Times New Roman" w:hAnsi="Times New Roman" w:cs="Times New Roman"/>
          <w:color w:val="222222"/>
          <w:sz w:val="24"/>
          <w:szCs w:val="24"/>
          <w:shd w:val="clear" w:color="auto" w:fill="FFFFFF"/>
        </w:rPr>
        <w:t>(7), 1286-1290.</w:t>
      </w:r>
    </w:p>
    <w:p w:rsidR="00FF48BA" w:rsidRPr="002E1B9C" w:rsidRDefault="00F05FB5" w:rsidP="00FF48BA">
      <w:pPr>
        <w:tabs>
          <w:tab w:val="left" w:pos="6570"/>
        </w:tabs>
        <w:rPr>
          <w:rFonts w:ascii="Times New Roman" w:hAnsi="Times New Roman" w:cs="Times New Roman"/>
          <w:sz w:val="24"/>
          <w:szCs w:val="24"/>
        </w:rPr>
      </w:pPr>
      <w:r>
        <w:rPr>
          <w:rFonts w:ascii="Times New Roman" w:hAnsi="Times New Roman" w:cs="Times New Roman"/>
          <w:sz w:val="24"/>
          <w:szCs w:val="24"/>
        </w:rPr>
        <w:tab/>
      </w:r>
    </w:p>
    <w:p w:rsidR="00FF48BA" w:rsidRPr="00F40225" w:rsidRDefault="00BC29B3" w:rsidP="00F40225">
      <w:pPr>
        <w:spacing w:line="480" w:lineRule="auto"/>
        <w:ind w:firstLine="720"/>
        <w:rPr>
          <w:rFonts w:ascii="Times New Roman" w:hAnsi="Times New Roman" w:cs="Times New Roman"/>
          <w:sz w:val="24"/>
          <w:szCs w:val="24"/>
        </w:rPr>
      </w:pPr>
    </w:p>
    <w:p w:rsidR="00B842A1" w:rsidRPr="00B842A1" w:rsidRDefault="00BC29B3">
      <w:pPr>
        <w:rPr>
          <w:rFonts w:ascii="Times New Roman" w:hAnsi="Times New Roman" w:cs="Times New Roman"/>
          <w:sz w:val="24"/>
          <w:szCs w:val="24"/>
        </w:rPr>
      </w:pPr>
    </w:p>
    <w:p w:rsidR="002E1B9C" w:rsidRPr="002E1B9C" w:rsidRDefault="00F05FB5">
      <w:pPr>
        <w:rPr>
          <w:rFonts w:ascii="Times New Roman" w:hAnsi="Times New Roman" w:cs="Times New Roman"/>
          <w:b/>
          <w:sz w:val="24"/>
          <w:szCs w:val="24"/>
        </w:rPr>
      </w:pPr>
      <w:r>
        <w:rPr>
          <w:rFonts w:ascii="Times New Roman" w:hAnsi="Times New Roman" w:cs="Times New Roman"/>
          <w:b/>
          <w:sz w:val="24"/>
          <w:szCs w:val="24"/>
        </w:rPr>
        <w:t xml:space="preserve"> </w:t>
      </w:r>
    </w:p>
    <w:sectPr w:rsidR="002E1B9C" w:rsidRPr="002E1B9C" w:rsidSect="00B836C2">
      <w:headerReference w:type="default" r:id="rId6"/>
      <w:pgSz w:w="12240" w:h="15840"/>
      <w:pgMar w:top="1440" w:right="1440" w:bottom="1440" w:left="1440" w:header="720" w:footer="720" w:gutter="0"/>
      <w:cols w:space="720"/>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BC29B3" w:rsidRDefault="00BC29B3" w:rsidP="002D01F9">
      <w:pPr>
        <w:spacing w:after="0" w:line="240" w:lineRule="auto"/>
      </w:pPr>
      <w:r>
        <w:separator/>
      </w:r>
    </w:p>
  </w:endnote>
  <w:endnote w:type="continuationSeparator" w:id="1">
    <w:p w:rsidR="00BC29B3" w:rsidRDefault="00BC29B3" w:rsidP="002D01F9">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Calibri">
    <w:panose1 w:val="020F0502020204030204"/>
    <w:charset w:val="00"/>
    <w:family w:val="swiss"/>
    <w:pitch w:val="variable"/>
    <w:sig w:usb0="E10002FF" w:usb1="4000ACFF" w:usb2="00000009" w:usb3="00000000" w:csb0="0000019F" w:csb1="00000000"/>
  </w:font>
  <w:font w:name="Times New Roman">
    <w:panose1 w:val="02020603050405020304"/>
    <w:charset w:val="00"/>
    <w:family w:val="roman"/>
    <w:pitch w:val="variable"/>
    <w:sig w:usb0="E0002AFF" w:usb1="C0007841"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A00002EF" w:usb1="4000004B" w:usb2="00000000" w:usb3="00000000" w:csb0="0000019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BC29B3" w:rsidRDefault="00BC29B3" w:rsidP="002D01F9">
      <w:pPr>
        <w:spacing w:after="0" w:line="240" w:lineRule="auto"/>
      </w:pPr>
      <w:r>
        <w:separator/>
      </w:r>
    </w:p>
  </w:footnote>
  <w:footnote w:type="continuationSeparator" w:id="1">
    <w:p w:rsidR="00BC29B3" w:rsidRDefault="00BC29B3" w:rsidP="002D01F9">
      <w:pPr>
        <w:spacing w:after="0" w:line="240" w:lineRule="auto"/>
      </w:pPr>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sdt>
    <w:sdtPr>
      <w:id w:val="3291341"/>
      <w:docPartObj>
        <w:docPartGallery w:val="Page Numbers (Top of Page)"/>
        <w:docPartUnique/>
      </w:docPartObj>
    </w:sdtPr>
    <w:sdtContent>
      <w:p w:rsidR="00F40225" w:rsidRDefault="00D17788" w:rsidP="00B842A1">
        <w:pPr>
          <w:pStyle w:val="Header"/>
          <w:ind w:left="4680" w:firstLine="4680"/>
        </w:pPr>
        <w:r>
          <w:fldChar w:fldCharType="begin"/>
        </w:r>
        <w:r w:rsidR="00F05FB5">
          <w:instrText xml:space="preserve"> PAGE   \* MERGEFORMAT </w:instrText>
        </w:r>
        <w:r>
          <w:fldChar w:fldCharType="separate"/>
        </w:r>
        <w:r w:rsidR="00440975">
          <w:rPr>
            <w:noProof/>
          </w:rPr>
          <w:t>1</w:t>
        </w:r>
        <w:r>
          <w:rPr>
            <w:noProof/>
          </w:rPr>
          <w:fldChar w:fldCharType="end"/>
        </w:r>
      </w:p>
    </w:sdtContent>
  </w:sdt>
  <w:p w:rsidR="00F40225" w:rsidRDefault="00BC29B3">
    <w:pPr>
      <w:pStyle w:val="Header"/>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defaultTabStop w:val="720"/>
  <w:characterSpacingControl w:val="doNotCompress"/>
  <w:footnotePr>
    <w:footnote w:id="0"/>
    <w:footnote w:id="1"/>
  </w:footnotePr>
  <w:endnotePr>
    <w:endnote w:id="0"/>
    <w:endnote w:id="1"/>
  </w:endnotePr>
  <w:compat/>
  <w:rsids>
    <w:rsidRoot w:val="002D01F9"/>
    <w:rsid w:val="002D01F9"/>
    <w:rsid w:val="00440975"/>
    <w:rsid w:val="008C7A40"/>
    <w:rsid w:val="00BC29B3"/>
    <w:rsid w:val="00D17788"/>
    <w:rsid w:val="00F05FB5"/>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3074"/>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B836C2"/>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B842A1"/>
    <w:pPr>
      <w:tabs>
        <w:tab w:val="center" w:pos="4680"/>
        <w:tab w:val="right" w:pos="9360"/>
      </w:tabs>
      <w:spacing w:after="0" w:line="240" w:lineRule="auto"/>
    </w:pPr>
  </w:style>
  <w:style w:type="character" w:customStyle="1" w:styleId="HeaderChar">
    <w:name w:val="Header Char"/>
    <w:basedOn w:val="DefaultParagraphFont"/>
    <w:link w:val="Header"/>
    <w:uiPriority w:val="99"/>
    <w:rsid w:val="00B842A1"/>
  </w:style>
  <w:style w:type="paragraph" w:styleId="Footer">
    <w:name w:val="footer"/>
    <w:basedOn w:val="Normal"/>
    <w:link w:val="FooterChar"/>
    <w:uiPriority w:val="99"/>
    <w:semiHidden/>
    <w:unhideWhenUsed/>
    <w:rsid w:val="00B842A1"/>
    <w:pPr>
      <w:tabs>
        <w:tab w:val="center" w:pos="4680"/>
        <w:tab w:val="right" w:pos="9360"/>
      </w:tabs>
      <w:spacing w:after="0" w:line="240" w:lineRule="auto"/>
    </w:pPr>
  </w:style>
  <w:style w:type="character" w:customStyle="1" w:styleId="FooterChar">
    <w:name w:val="Footer Char"/>
    <w:basedOn w:val="DefaultParagraphFont"/>
    <w:link w:val="Footer"/>
    <w:uiPriority w:val="99"/>
    <w:semiHidden/>
    <w:rsid w:val="00B842A1"/>
  </w:style>
  <w:style w:type="character" w:styleId="CommentReference">
    <w:name w:val="annotation reference"/>
    <w:basedOn w:val="DefaultParagraphFont"/>
    <w:rsid w:val="00805BCE"/>
    <w:rPr>
      <w:sz w:val="16"/>
      <w:szCs w:val="16"/>
    </w:rPr>
  </w:style>
  <w:style w:type="paragraph" w:styleId="CommentText">
    <w:name w:val="annotation text"/>
    <w:basedOn w:val="Normal"/>
    <w:link w:val="CommentTextChar"/>
    <w:uiPriority w:val="99"/>
    <w:semiHidden/>
    <w:unhideWhenUsed/>
    <w:rsid w:val="002D01F9"/>
    <w:pPr>
      <w:spacing w:line="240" w:lineRule="auto"/>
    </w:pPr>
    <w:rPr>
      <w:sz w:val="20"/>
      <w:szCs w:val="20"/>
    </w:rPr>
  </w:style>
  <w:style w:type="character" w:customStyle="1" w:styleId="CommentTextChar">
    <w:name w:val="Comment Text Char"/>
    <w:basedOn w:val="DefaultParagraphFont"/>
    <w:link w:val="CommentText"/>
    <w:uiPriority w:val="99"/>
    <w:semiHidden/>
    <w:rsid w:val="002D01F9"/>
    <w:rPr>
      <w:sz w:val="20"/>
      <w:szCs w:val="20"/>
    </w:rPr>
  </w:style>
  <w:style w:type="paragraph" w:styleId="BalloonText">
    <w:name w:val="Balloon Text"/>
    <w:basedOn w:val="Normal"/>
    <w:link w:val="BalloonTextChar"/>
    <w:uiPriority w:val="99"/>
    <w:semiHidden/>
    <w:unhideWhenUsed/>
    <w:rsid w:val="008C7A40"/>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8C7A40"/>
    <w:rPr>
      <w:rFonts w:ascii="Tahoma" w:hAnsi="Tahoma" w:cs="Tahoma"/>
      <w:sz w:val="16"/>
      <w:szCs w:val="16"/>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2</TotalTime>
  <Pages>4</Pages>
  <Words>634</Words>
  <Characters>3617</Characters>
  <Application>Microsoft Office Word</Application>
  <DocSecurity>0</DocSecurity>
  <Lines>30</Lines>
  <Paragraphs>8</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4243</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User</dc:creator>
  <cp:lastModifiedBy>User</cp:lastModifiedBy>
  <cp:revision>3</cp:revision>
  <dcterms:created xsi:type="dcterms:W3CDTF">2018-02-06T07:21:00Z</dcterms:created>
  <dcterms:modified xsi:type="dcterms:W3CDTF">2018-02-06T07:26:00Z</dcterms:modified>
</cp:coreProperties>
</file>